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E7" w:rsidRPr="00F82256" w:rsidRDefault="00094BE7" w:rsidP="002A4701">
      <w:pPr>
        <w:pStyle w:val="Default"/>
        <w:rPr>
          <w:rFonts w:ascii="Cambria" w:hAnsi="Cambria" w:cs="Cambria"/>
          <w:sz w:val="22"/>
          <w:szCs w:val="22"/>
        </w:rPr>
      </w:pPr>
    </w:p>
    <w:p w:rsidR="00094BE7" w:rsidRPr="00F82256" w:rsidRDefault="00094BE7" w:rsidP="002A4701">
      <w:pPr>
        <w:pStyle w:val="Heading2"/>
        <w:ind w:left="7080"/>
        <w:rPr>
          <w:sz w:val="22"/>
          <w:szCs w:val="22"/>
        </w:rPr>
      </w:pPr>
      <w:r w:rsidRPr="00F82256">
        <w:rPr>
          <w:sz w:val="22"/>
          <w:szCs w:val="22"/>
        </w:rPr>
        <w:t>Załącznik II.1</w:t>
      </w:r>
    </w:p>
    <w:p w:rsidR="00094BE7" w:rsidRPr="00F82256" w:rsidRDefault="00094BE7" w:rsidP="002A4701">
      <w:pPr>
        <w:pStyle w:val="Heading2"/>
        <w:rPr>
          <w:rFonts w:cs="Times New Roman"/>
          <w:sz w:val="22"/>
          <w:szCs w:val="22"/>
        </w:rPr>
      </w:pPr>
    </w:p>
    <w:p w:rsidR="00094BE7" w:rsidRPr="00F82256" w:rsidRDefault="00094BE7" w:rsidP="002A4701">
      <w:pPr>
        <w:pStyle w:val="Heading2"/>
        <w:rPr>
          <w:rFonts w:cs="Times New Roman"/>
          <w:color w:val="FF0000"/>
          <w:sz w:val="22"/>
          <w:szCs w:val="22"/>
        </w:rPr>
      </w:pPr>
      <w:r w:rsidRPr="00F82256">
        <w:rPr>
          <w:sz w:val="22"/>
          <w:szCs w:val="22"/>
        </w:rPr>
        <w:t>1.3. Karta modułu/przedmiotu</w:t>
      </w:r>
      <w:r w:rsidRPr="00F82256">
        <w:rPr>
          <w:sz w:val="22"/>
          <w:szCs w:val="22"/>
        </w:rPr>
        <w:tab/>
      </w:r>
      <w:r w:rsidRPr="00F82256">
        <w:rPr>
          <w:sz w:val="22"/>
          <w:szCs w:val="22"/>
        </w:rPr>
        <w:tab/>
      </w:r>
      <w:r w:rsidRPr="00F82256">
        <w:rPr>
          <w:sz w:val="22"/>
          <w:szCs w:val="22"/>
        </w:rPr>
        <w:tab/>
      </w:r>
      <w:r w:rsidRPr="00F82256">
        <w:rPr>
          <w:sz w:val="22"/>
          <w:szCs w:val="22"/>
        </w:rPr>
        <w:tab/>
      </w:r>
      <w:r w:rsidRPr="00F82256">
        <w:rPr>
          <w:sz w:val="22"/>
          <w:szCs w:val="22"/>
        </w:rPr>
        <w:tab/>
      </w:r>
      <w:r w:rsidRPr="00F82256">
        <w:rPr>
          <w:sz w:val="22"/>
          <w:szCs w:val="22"/>
        </w:rPr>
        <w:tab/>
      </w:r>
      <w:r w:rsidRPr="00F82256">
        <w:rPr>
          <w:sz w:val="22"/>
          <w:szCs w:val="22"/>
        </w:rPr>
        <w:tab/>
      </w:r>
    </w:p>
    <w:p w:rsidR="00094BE7" w:rsidRPr="00F82256" w:rsidRDefault="00094BE7" w:rsidP="002A4701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328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917"/>
        <w:gridCol w:w="400"/>
        <w:gridCol w:w="43"/>
        <w:gridCol w:w="1357"/>
      </w:tblGrid>
      <w:tr w:rsidR="00094BE7" w:rsidRPr="00F8225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94BE7" w:rsidRPr="00F82256" w:rsidRDefault="00094BE7" w:rsidP="00E17AFE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Miejsce – pamięć – tożsamość. Obrazy aglomeracji miejskich w twórczości Gustawa Herlinga-Grudzińskiego.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094BE7" w:rsidRPr="00F822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94BE7" w:rsidRPr="00F82256" w:rsidRDefault="00094BE7" w:rsidP="00E17AFE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12"/>
          </w:tcPr>
          <w:p w:rsidR="00094BE7" w:rsidRPr="00F82256" w:rsidRDefault="00094BE7" w:rsidP="002A470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Miejsce – pamięć – tożsamość. Obrazy aglomeracji miejskich w twórczości Gustawa Herlinga-Grudzińskiego.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094BE7" w:rsidRPr="00F82256">
        <w:trPr>
          <w:cantSplit/>
        </w:trPr>
        <w:tc>
          <w:tcPr>
            <w:tcW w:w="497" w:type="dxa"/>
            <w:vMerge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7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094BE7" w:rsidRPr="00F82256" w:rsidRDefault="00094BE7" w:rsidP="00F8225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094BE7" w:rsidRPr="00F82256">
        <w:trPr>
          <w:cantSplit/>
        </w:trPr>
        <w:tc>
          <w:tcPr>
            <w:tcW w:w="497" w:type="dxa"/>
            <w:vMerge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7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</w:tc>
      </w:tr>
      <w:tr w:rsidR="00094BE7" w:rsidRPr="00F82256">
        <w:trPr>
          <w:cantSplit/>
        </w:trPr>
        <w:tc>
          <w:tcPr>
            <w:tcW w:w="497" w:type="dxa"/>
            <w:vMerge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8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4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Filologia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polska -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auczycielska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/ filologiczna obsługa biznesu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094BE7" w:rsidRPr="00F82256">
        <w:trPr>
          <w:cantSplit/>
        </w:trPr>
        <w:tc>
          <w:tcPr>
            <w:tcW w:w="497" w:type="dxa"/>
            <w:vMerge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8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val="en-US"/>
              </w:rPr>
              <w:t xml:space="preserve">Rok / semestr: </w:t>
            </w:r>
          </w:p>
          <w:p w:rsidR="00094BE7" w:rsidRPr="00F82256" w:rsidRDefault="00094BE7" w:rsidP="005C7386">
            <w:pPr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  <w:t>II /3</w:t>
            </w:r>
          </w:p>
        </w:tc>
        <w:tc>
          <w:tcPr>
            <w:tcW w:w="3173" w:type="dxa"/>
            <w:gridSpan w:val="4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094BE7" w:rsidRPr="00F82256" w:rsidRDefault="00094BE7" w:rsidP="002A470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(literatur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o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znawczy)</w:t>
            </w:r>
          </w:p>
        </w:tc>
        <w:tc>
          <w:tcPr>
            <w:tcW w:w="3171" w:type="dxa"/>
            <w:gridSpan w:val="5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094BE7" w:rsidRPr="00F82256">
        <w:trPr>
          <w:cantSplit/>
        </w:trPr>
        <w:tc>
          <w:tcPr>
            <w:tcW w:w="497" w:type="dxa"/>
            <w:vMerge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gridSpan w:val="3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F82256">
              <w:rPr>
                <w:rFonts w:ascii="Cambria" w:hAnsi="Cambria" w:cs="Cambria"/>
                <w:sz w:val="22"/>
                <w:szCs w:val="22"/>
              </w:rPr>
              <w:br/>
              <w:t>(wpisać j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a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kie)</w:t>
            </w:r>
          </w:p>
        </w:tc>
      </w:tr>
      <w:tr w:rsidR="00094BE7" w:rsidRPr="00F82256">
        <w:trPr>
          <w:cantSplit/>
        </w:trPr>
        <w:tc>
          <w:tcPr>
            <w:tcW w:w="497" w:type="dxa"/>
            <w:vMerge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gridSpan w:val="3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094BE7" w:rsidRPr="00F82256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094BE7" w:rsidRPr="00F82256">
        <w:tc>
          <w:tcPr>
            <w:tcW w:w="2988" w:type="dxa"/>
            <w:gridSpan w:val="7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094BE7" w:rsidRPr="00F82256">
        <w:tc>
          <w:tcPr>
            <w:tcW w:w="2988" w:type="dxa"/>
            <w:gridSpan w:val="7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Celem ćwiczeń jest modyfikacja dydaktycznego wizerunku Herlinga-Grudzińskiego jako autora jednego tylko dzieła (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</w:rPr>
              <w:t>Inny Świat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), prezentacja jego miejsc „świętych” i miejsc „przeklętych” (miasta molochy i miasta na miarę człowieka; stara mała ojczyzna – nowa-stara mała ojczyzna) pr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e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zentacja jego sposobów uobecniania przeszłości (tu także: mechanizmy pamiętania i mechanizmy zapominania; świadomość a pamięć; rozm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y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wanie i odzyskiwanie tożsamości).</w:t>
            </w:r>
          </w:p>
        </w:tc>
      </w:tr>
      <w:tr w:rsidR="00094BE7" w:rsidRPr="00F82256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Brak</w:t>
            </w:r>
          </w:p>
        </w:tc>
      </w:tr>
      <w:tr w:rsidR="00094BE7" w:rsidRPr="00F8225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kieru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n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ku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94BE7" w:rsidRPr="00F82256" w:rsidRDefault="00094BE7" w:rsidP="00F82256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Ma podstawową wiedzę o mechanizmach pamiętania i zapominania, o probl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e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matyce tracenia i odzyskiwania tożsamości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K_W01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94BE7" w:rsidRPr="00F82256" w:rsidRDefault="00094BE7" w:rsidP="00F82256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Zna terminologię dotyczącą problematyki przestrzeni (miejsce – droga)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94BE7" w:rsidRPr="00F82256" w:rsidRDefault="00094BE7" w:rsidP="00F82256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 stopniu ogólnym, w sposób uporządkowany rozróżnia – selektywny wybór –stanowiska badawcze dotyczące problematyki przestrzeni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K_W03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94BE7" w:rsidRPr="00F82256" w:rsidRDefault="00094BE7" w:rsidP="00CA72B1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Rozpoznaje i charakteryzuje podstawowe obrazy „małych ojczyzn”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K_W06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94BE7" w:rsidRPr="00F82256" w:rsidRDefault="00094BE7" w:rsidP="00F82256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Odtwarza i stosuje w sposób uporządkowany podstawową wiedzę z zakresu metod literaturoznawczej analizy i interpretacji dzieł oraz w podstawowym zakresie odpowiednio dobiera metody analizy i interpretacji literaturoznawczej.</w:t>
            </w:r>
          </w:p>
        </w:tc>
        <w:tc>
          <w:tcPr>
            <w:tcW w:w="1400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K_W07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Rozpoznaje, analizuje i określa podstawowe problemy teoretyczne z zakresu literaturoznawstwa (szczeg. problematyka analizy i interpretacji).</w:t>
            </w:r>
          </w:p>
        </w:tc>
        <w:tc>
          <w:tcPr>
            <w:tcW w:w="1400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K_U04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Merytorycznie wyjaśnia swoje tezy interpretacyjne oraz w sposób świadomy i krytyczny formułuje wnioski badawcze z wykorzystaniem poglądów innych autorów.</w:t>
            </w:r>
          </w:p>
        </w:tc>
        <w:tc>
          <w:tcPr>
            <w:tcW w:w="1400" w:type="dxa"/>
            <w:gridSpan w:val="2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K_U08 K_U11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Efektywnie organizuje swoją pracę i krytycznie ocenia stopień jej zawansow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a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nia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K_K05</w:t>
            </w:r>
          </w:p>
        </w:tc>
      </w:tr>
      <w:tr w:rsidR="00094BE7" w:rsidRPr="00F82256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BE7" w:rsidRPr="00F82256" w:rsidRDefault="00094BE7" w:rsidP="00E17AF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BE7" w:rsidRPr="00F82256" w:rsidRDefault="00094BE7" w:rsidP="002A4701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Marek Zaleski przekonuje, że jesteśmy „tworem naszych wspomnień i nasza świadomość jest funkcją naszej pamięci”. Na ćwiczeniach (materiałem analitycznym będą wybrane teksty Gustawa Herlinga-Grudzińskiego) omówiona zostanie koncepcja pamięci w ogóle, koncepcja pamięci autobiograficznej i rola pamięci w – jak mówi Maria Jagodzińska – „służbie ja” (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pamięć a tożsamość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). Poruszona zostanie także problematyka prywatnych małych ojczyzn (zniszczenie – próba odbudowy – nowa-stara mała o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j</w:t>
            </w:r>
            <w:r w:rsidRPr="00F82256">
              <w:rPr>
                <w:rFonts w:ascii="Cambria" w:hAnsi="Cambria" w:cs="Cambria"/>
                <w:sz w:val="22"/>
                <w:szCs w:val="22"/>
              </w:rPr>
              <w:t xml:space="preserve">czyzna; 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miejsce a tożsamość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) i problematyka emigracyjna (kręgi wyobcowania; oswajanie obcości; o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d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najdywanie miejsca – odnajdywanie świata – odnajdywanie siebie; „być bez ojczyzny” – być obywatelem świata).</w:t>
            </w: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BE7" w:rsidRPr="00F82256" w:rsidRDefault="00094BE7" w:rsidP="00E17AFE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94BE7" w:rsidRPr="00F82256" w:rsidRDefault="00094BE7" w:rsidP="00E17AFE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094BE7" w:rsidRPr="00F822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094BE7" w:rsidRPr="00F82256" w:rsidRDefault="00094BE7" w:rsidP="002A4701">
            <w:pPr>
              <w:spacing w:line="276" w:lineRule="auto"/>
              <w:rPr>
                <w:rFonts w:ascii="Cambria" w:hAnsi="Cambria" w:cs="Cambria"/>
                <w:sz w:val="22"/>
                <w:szCs w:val="22"/>
                <w:lang w:eastAsia="en-US"/>
              </w:rPr>
            </w:pPr>
          </w:p>
          <w:p w:rsidR="00094BE7" w:rsidRPr="00F82256" w:rsidRDefault="00094BE7" w:rsidP="002A4701">
            <w:pPr>
              <w:spacing w:line="276" w:lineRule="auto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Materiał analityczny (do wyboru)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 xml:space="preserve">Podróż do Burmy. Dziennik, 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PULS, 1983.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Opowiadania zebrane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t. 1 i 2, zebrał i oprac. Zdzisław Kudelski, Warszawa 1999.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T. 1 – 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Pisma zebrane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, pod red. Zdzisława Kudelskiego, T. 1.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Inny Świat. Zapiski sowieckie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Warszawa 1998.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T. 2 – 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Pisma zebrane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, pod red. Zdzisława Kudelskiego, T. 2.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Skrzydła ołtarza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Warszawa 1997.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Wybrane fragmenty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 xml:space="preserve">Pism zebranych 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(t 3-7, 10-11).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T. 12 – 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Pisma zebrane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, pod red. Zdzisława Kudelskiego, T. 12.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Biała noc miłości. Opowiadania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Warszawa 2002.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Sześć medalionów i Srebrna Szkatułka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Warszawa 1994.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Zima w zaświatach. Opowieść londyńska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„Rzeczpospol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i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ta” z 24 – 25 stycznia 1998.</w:t>
            </w:r>
          </w:p>
          <w:p w:rsidR="00094BE7" w:rsidRPr="00F82256" w:rsidRDefault="00094BE7" w:rsidP="00063291">
            <w:pPr>
              <w:spacing w:line="276" w:lineRule="auto"/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………………………………………………………………………………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Moje „podwójne życie pisarza”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„Rzeczpospolita” nr 111 z 13 – 14 maja 2000, s. D 2 („Plus Minus”).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Najkrótszy przewodnik po sobie samym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oprac. i przygot. do druku Włodzimierz Bolecki, Kraków 2000, s. 8.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(Herling-Grudziński Gustaw),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Notatka o rodzinie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„Rzeczpospolita” nr 155 z 5 – 6 li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p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ca 2003 r., s. D 6 (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Rzecz o książkach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); do druku podał Zdzisław Kudelski.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Herling-Grudziński Gustaw,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Przestałem być pisarzem emigracyjnym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„Tygodnik P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o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wszechny” nr 24 z 16 czerwca 1991, s. 1, 7. 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Oprac: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J. Błoński,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Miasta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„Teksty” 1972, nr 1;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J. Jarzębski,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Zniszczenie centrum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„Teksty Drugie” 1999, nr 4.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W. Ligęza,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Jerozolima i Babilon: miasta poetów emigracyjnych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Kraków 1988;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A. Łaszowski,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Są miasta ładne i straszne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„Poezja” 1983, nr 1.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Pisanie miasta, czytanie miasta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pod red. A. Zeidler-Janiszewskiej, Poznań 1997.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Przestrzenie, miejsca, wędrówki. Kategoria przestrzeni w badaniach kulturowych i lit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e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rackich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pod red. P. Kowalskiego, Opole 2001;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E. Rybicka,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Geopoetyka. O mieście, przestrzeni i miejscu we współczesnych teoriach i praktykach kulturowych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, [w:]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Kulturowa teoria literatury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pod red. R. Nycza i M. P. Markowskiego, Kraków 2006.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W. Toporow,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Miasto i mit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przeł. B. Żyłko, Gdańsk 2000.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H. Mathews, G. Perec,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Roussel i Wenecja. Zarys geografii melancholicznej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przeł. M. P. Markowski, "Literatura na świecie" 2000 nr 3, s. 203-229.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E. Rewers,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Post-polis. Wstęp do filozofii ponowoczesnego miasta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Kraków 2005.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  <w:lang w:eastAsia="en-US"/>
              </w:rPr>
            </w:pP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 xml:space="preserve">Sobkiewicz l., 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Waltera Benjamina filozofia ulicy, /w:/ Przestrzeń, filozofia i architekt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u</w:t>
            </w:r>
            <w:r w:rsidRPr="00F82256">
              <w:rPr>
                <w:rFonts w:ascii="Cambria" w:hAnsi="Cambria" w:cs="Cambria"/>
                <w:i/>
                <w:iCs/>
                <w:sz w:val="22"/>
                <w:szCs w:val="22"/>
                <w:lang w:eastAsia="en-US"/>
              </w:rPr>
              <w:t>ra. Osiem rozmów o poznawaniu, produkowaniu i konsumowaniu przestrzeni</w:t>
            </w:r>
            <w:r w:rsidRPr="00F82256">
              <w:rPr>
                <w:rFonts w:ascii="Cambria" w:hAnsi="Cambria" w:cs="Cambria"/>
                <w:sz w:val="22"/>
                <w:szCs w:val="22"/>
                <w:lang w:eastAsia="en-US"/>
              </w:rPr>
              <w:t>, pod red. E. Rewers, Poznań 1999.</w:t>
            </w:r>
          </w:p>
          <w:p w:rsidR="00094BE7" w:rsidRPr="00F82256" w:rsidRDefault="00094BE7" w:rsidP="00063291">
            <w:pPr>
              <w:ind w:left="36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c>
          <w:tcPr>
            <w:tcW w:w="1526" w:type="dxa"/>
            <w:gridSpan w:val="3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482" w:type="dxa"/>
            <w:gridSpan w:val="15"/>
          </w:tcPr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J. Prokop, O interpretacjach literackich, "Ruch Literacki " 1963, nr I;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E. Balcerzan, Eksperyment w interpretacji dzieła literackiego, [w zbiorze:] Prace o lit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e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raturze i teatrze, 1966;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H. Rudiger, Między interpretacją a historią kultury duchowej, "Pamiętnik Literacki " 1968, z. 2;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J. Kmita, Z metodologicznych problemów interpretacji humanistycznej, 1971;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T. Pawłowski, Interpretacja dzieła sztuki, "Studia Filo¬zoficzne" 1971, nr 5;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J. Sławiński, Analiza, interpretacja i wartościowanie dzieła literackiego, [w zbiorze:] Problemy metodologiczne współczesnego literaturoznawstwa, red. H. Markiewicz, J. Sławiński, 1976;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Hermeneutyka i interpretacja dzieła literackiego, zespół prac tłum. "Pamiętnik Litera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c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ki" 1977, z. 3, 4;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E.D. Hirsch, Rozumienie, interpretacja i krytyka, [w zbiorze:] Znak, styl, konwencja, red. M. Głowiński, 1977;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S. Sontag, Przeciw interpretacji, "Literatura na Świecie " 1979, nr 9;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Sztuka interpretacji, [w zbiorze:] Współ¬czesna teoria badań literackich za granicą, t. 1, red. H. Markiewicz, 1970;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W. Kayser, Ocena dzieła literackiego a jego interpretacja, tamże;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 .K. Wimsatt, Eksplikacja jako krytyka, tamże;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Sztuka interpretacji, t. 1- 2, red. H. Markiewicz, 1971-1973: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J. Sławiński, O problemach "sztuki interpretacji' " [w:] Dzieło, język, tradycja, 1974;</w:t>
            </w:r>
          </w:p>
          <w:p w:rsidR="00094BE7" w:rsidRPr="00F82256" w:rsidRDefault="00094BE7" w:rsidP="000962C8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94BE7" w:rsidRPr="00F82256" w:rsidRDefault="00094BE7" w:rsidP="0006329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Pr="00F82256" w:rsidRDefault="00094BE7" w:rsidP="00063291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Ćwiczenia audytoryjne: dyskusja, analiza tekstów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</w:tr>
      <w:tr w:rsidR="00094BE7" w:rsidRPr="00F822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F82256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094BE7" w:rsidRPr="00F822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</w:tcPr>
          <w:p w:rsidR="00094BE7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Wystąpienie w czasie ćwiczeń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094BE7" w:rsidRPr="00F82256" w:rsidRDefault="00094BE7" w:rsidP="00063291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</w:tc>
      </w:tr>
      <w:tr w:rsidR="00094BE7" w:rsidRPr="00F822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094BE7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Praca końcowa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</w:tc>
      </w:tr>
      <w:tr w:rsidR="00094BE7" w:rsidRPr="00F822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94BE7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Forma i warunki zal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i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czenia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94BE7" w:rsidRDefault="00094BE7" w:rsidP="00CA72B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  <w:bookmarkStart w:id="0" w:name="_GoBack"/>
            <w:bookmarkEnd w:id="0"/>
          </w:p>
          <w:p w:rsidR="00094BE7" w:rsidRPr="00F82256" w:rsidRDefault="00094BE7" w:rsidP="00CA72B1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50% - pozytywna ocena pracy pisemnej (analiza wybranego utworu Gustawa Herlinga-Grudzińskiego);</w:t>
            </w:r>
          </w:p>
          <w:p w:rsidR="00094BE7" w:rsidRPr="00F82256" w:rsidRDefault="00094BE7" w:rsidP="00CA72B1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25% - pozytywnie ocenione przygotowane wystąpienie na ćwiczeniach;</w:t>
            </w:r>
          </w:p>
          <w:p w:rsidR="00094BE7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25% - obecność i aktywność na ćwiczeniach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94BE7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094BE7" w:rsidRPr="00F82256">
        <w:trPr>
          <w:trHeight w:val="263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Udział w ćwiczeniach audytoryjnych i laborat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o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ryjnych</w:t>
            </w:r>
            <w:r w:rsidRPr="00F82256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F82256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F82256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10</w:t>
            </w: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50</w:t>
            </w:r>
          </w:p>
        </w:tc>
      </w:tr>
      <w:tr w:rsidR="00094BE7" w:rsidRPr="00F82256">
        <w:trPr>
          <w:trHeight w:val="417"/>
        </w:trPr>
        <w:tc>
          <w:tcPr>
            <w:tcW w:w="4723" w:type="dxa"/>
            <w:gridSpan w:val="11"/>
            <w:shd w:val="clear" w:color="auto" w:fill="C0C0C0"/>
          </w:tcPr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  <w:shd w:val="clear" w:color="auto" w:fill="C0C0C0"/>
          </w:tcPr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Liczba p. ECTS związana z zajęciami praktyc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z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nymi</w:t>
            </w:r>
            <w:r w:rsidRPr="00F82256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094BE7" w:rsidRPr="00F82256" w:rsidRDefault="00094BE7" w:rsidP="00E17AF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(30+8+10=48)</w:t>
            </w:r>
          </w:p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,9</w:t>
            </w:r>
            <w:r w:rsidRPr="00F8225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ECTS</w:t>
            </w:r>
          </w:p>
        </w:tc>
      </w:tr>
      <w:tr w:rsidR="00094BE7" w:rsidRPr="00F82256">
        <w:trPr>
          <w:trHeight w:val="262"/>
        </w:trPr>
        <w:tc>
          <w:tcPr>
            <w:tcW w:w="4723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94BE7" w:rsidRPr="00F82256" w:rsidRDefault="00094BE7" w:rsidP="00E17AFE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Liczba p. ECTS  za zajęciach wymagające bezp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o</w:t>
            </w:r>
            <w:r w:rsidRPr="00F82256">
              <w:rPr>
                <w:rFonts w:ascii="Cambria" w:hAnsi="Cambria" w:cs="Cambria"/>
                <w:sz w:val="22"/>
                <w:szCs w:val="22"/>
              </w:rPr>
              <w:t>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(30+2=32)</w:t>
            </w:r>
          </w:p>
          <w:p w:rsidR="00094BE7" w:rsidRPr="00F82256" w:rsidRDefault="00094BE7" w:rsidP="00E17AF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2256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,3</w:t>
            </w:r>
            <w:r w:rsidRPr="00F82256">
              <w:rPr>
                <w:rFonts w:ascii="Cambria" w:hAnsi="Cambria" w:cs="Cambria"/>
                <w:sz w:val="22"/>
                <w:szCs w:val="22"/>
              </w:rPr>
              <w:t xml:space="preserve"> ECTS</w:t>
            </w:r>
          </w:p>
        </w:tc>
      </w:tr>
    </w:tbl>
    <w:p w:rsidR="00094BE7" w:rsidRPr="00F82256" w:rsidRDefault="00094BE7" w:rsidP="002A4701">
      <w:pPr>
        <w:rPr>
          <w:rFonts w:ascii="Cambria" w:hAnsi="Cambria" w:cs="Cambria"/>
          <w:sz w:val="22"/>
          <w:szCs w:val="22"/>
        </w:rPr>
      </w:pPr>
    </w:p>
    <w:p w:rsidR="00094BE7" w:rsidRPr="00F82256" w:rsidRDefault="00094BE7">
      <w:pPr>
        <w:rPr>
          <w:rFonts w:ascii="Cambria" w:hAnsi="Cambria" w:cs="Cambria"/>
          <w:sz w:val="22"/>
          <w:szCs w:val="22"/>
        </w:rPr>
      </w:pPr>
    </w:p>
    <w:sectPr w:rsidR="00094BE7" w:rsidRPr="00F82256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BE7" w:rsidRDefault="00094BE7">
      <w:r>
        <w:separator/>
      </w:r>
    </w:p>
  </w:endnote>
  <w:endnote w:type="continuationSeparator" w:id="0">
    <w:p w:rsidR="00094BE7" w:rsidRDefault="00094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BE7" w:rsidRDefault="00094B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E7" w:rsidRDefault="00094B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BE7" w:rsidRDefault="00094B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94BE7" w:rsidRDefault="00094BE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BE7" w:rsidRDefault="00094BE7">
      <w:r>
        <w:separator/>
      </w:r>
    </w:p>
  </w:footnote>
  <w:footnote w:type="continuationSeparator" w:id="0">
    <w:p w:rsidR="00094BE7" w:rsidRDefault="00094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11286"/>
    <w:multiLevelType w:val="hybridMultilevel"/>
    <w:tmpl w:val="8B441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33A3C"/>
    <w:multiLevelType w:val="hybridMultilevel"/>
    <w:tmpl w:val="60FC3E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9163BF"/>
    <w:multiLevelType w:val="hybridMultilevel"/>
    <w:tmpl w:val="A950FA2A"/>
    <w:lvl w:ilvl="0" w:tplc="FFAAD28E">
      <w:start w:val="1"/>
      <w:numFmt w:val="decimal"/>
      <w:lvlText w:val="%1."/>
      <w:lvlJc w:val="center"/>
      <w:pPr>
        <w:tabs>
          <w:tab w:val="num" w:pos="814"/>
        </w:tabs>
        <w:ind w:left="814" w:hanging="45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57027F"/>
    <w:multiLevelType w:val="hybridMultilevel"/>
    <w:tmpl w:val="60FC3E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780E6D"/>
    <w:multiLevelType w:val="hybridMultilevel"/>
    <w:tmpl w:val="A950FA2A"/>
    <w:lvl w:ilvl="0" w:tplc="FFAAD28E">
      <w:start w:val="1"/>
      <w:numFmt w:val="decimal"/>
      <w:lvlText w:val="%1."/>
      <w:lvlJc w:val="center"/>
      <w:pPr>
        <w:tabs>
          <w:tab w:val="num" w:pos="814"/>
        </w:tabs>
        <w:ind w:left="814" w:hanging="45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701"/>
    <w:rsid w:val="00014003"/>
    <w:rsid w:val="00057CAA"/>
    <w:rsid w:val="00063291"/>
    <w:rsid w:val="00094BE7"/>
    <w:rsid w:val="000962C8"/>
    <w:rsid w:val="001114C6"/>
    <w:rsid w:val="001D0D7A"/>
    <w:rsid w:val="002A4701"/>
    <w:rsid w:val="00376FFB"/>
    <w:rsid w:val="003E0B86"/>
    <w:rsid w:val="004D660E"/>
    <w:rsid w:val="0053290A"/>
    <w:rsid w:val="00561E05"/>
    <w:rsid w:val="00563815"/>
    <w:rsid w:val="005B65AC"/>
    <w:rsid w:val="005C7386"/>
    <w:rsid w:val="005D2716"/>
    <w:rsid w:val="00625BD3"/>
    <w:rsid w:val="006320B7"/>
    <w:rsid w:val="007F0A2C"/>
    <w:rsid w:val="007F653E"/>
    <w:rsid w:val="00902C0A"/>
    <w:rsid w:val="00A77968"/>
    <w:rsid w:val="00A96E54"/>
    <w:rsid w:val="00B64AB1"/>
    <w:rsid w:val="00BF02D2"/>
    <w:rsid w:val="00BF7069"/>
    <w:rsid w:val="00CA72B1"/>
    <w:rsid w:val="00CB51A0"/>
    <w:rsid w:val="00CC79BD"/>
    <w:rsid w:val="00CE2C43"/>
    <w:rsid w:val="00DE110B"/>
    <w:rsid w:val="00DF2F43"/>
    <w:rsid w:val="00E17AFE"/>
    <w:rsid w:val="00F02B3C"/>
    <w:rsid w:val="00F82256"/>
    <w:rsid w:val="00FF1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0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4701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4701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A4701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2A4701"/>
    <w:rPr>
      <w:rFonts w:ascii="Cambria" w:hAnsi="Cambria" w:cs="Cambria"/>
      <w:b/>
      <w:bCs/>
      <w:sz w:val="20"/>
      <w:szCs w:val="20"/>
      <w:lang w:eastAsia="pl-PL"/>
    </w:rPr>
  </w:style>
  <w:style w:type="paragraph" w:styleId="NoSpacing">
    <w:name w:val="No Spacing"/>
    <w:uiPriority w:val="99"/>
    <w:qFormat/>
    <w:rsid w:val="00BF02D2"/>
    <w:rPr>
      <w:rFonts w:cs="Arial"/>
      <w:sz w:val="24"/>
      <w:szCs w:val="24"/>
      <w:lang w:eastAsia="en-US"/>
    </w:rPr>
  </w:style>
  <w:style w:type="paragraph" w:customStyle="1" w:styleId="Styl1">
    <w:name w:val="Styl1"/>
    <w:basedOn w:val="Normal"/>
    <w:uiPriority w:val="99"/>
    <w:rsid w:val="00376FFB"/>
  </w:style>
  <w:style w:type="paragraph" w:customStyle="1" w:styleId="Default">
    <w:name w:val="Default"/>
    <w:uiPriority w:val="99"/>
    <w:rsid w:val="002A4701"/>
    <w:rPr>
      <w:rFonts w:ascii="Calibri" w:eastAsia="Times New Roman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2A470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701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2A4701"/>
  </w:style>
  <w:style w:type="paragraph" w:styleId="ListParagraph">
    <w:name w:val="List Paragraph"/>
    <w:basedOn w:val="Normal"/>
    <w:uiPriority w:val="99"/>
    <w:qFormat/>
    <w:rsid w:val="000632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1191</Words>
  <Characters>7148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Feliks Tomaszewski</dc:creator>
  <cp:keywords/>
  <dc:description/>
  <cp:lastModifiedBy>leszczynska </cp:lastModifiedBy>
  <cp:revision>2</cp:revision>
  <cp:lastPrinted>2012-09-19T16:48:00Z</cp:lastPrinted>
  <dcterms:created xsi:type="dcterms:W3CDTF">2012-09-19T16:48:00Z</dcterms:created>
  <dcterms:modified xsi:type="dcterms:W3CDTF">2012-09-19T16:48:00Z</dcterms:modified>
</cp:coreProperties>
</file>